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方正小标宋_GBK" w:hAnsi="方正小标宋_GBK" w:eastAsia="方正小标宋_GBK" w:cs="方正小标宋_GBK"/>
          <w:b w:val="0"/>
          <w:bCs w:val="0"/>
          <w:sz w:val="44"/>
          <w:szCs w:val="44"/>
          <w:highlight w:val="none"/>
          <w:lang w:val="en-US" w:eastAsia="zh-CN"/>
        </w:rPr>
      </w:pPr>
      <w:bookmarkStart w:id="3" w:name="_GoBack"/>
      <w:r>
        <w:rPr>
          <w:rFonts w:hint="eastAsia" w:ascii="方正小标宋_GBK" w:hAnsi="方正小标宋_GBK" w:eastAsia="方正小标宋_GBK" w:cs="方正小标宋_GBK"/>
          <w:b w:val="0"/>
          <w:bCs w:val="0"/>
          <w:sz w:val="44"/>
          <w:szCs w:val="44"/>
          <w:highlight w:val="none"/>
          <w:lang w:val="en-US" w:eastAsia="zh-CN"/>
        </w:rPr>
        <w:t>中国南方电网公司及其下属单位简介</w:t>
      </w:r>
      <w:bookmarkEnd w:id="3"/>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0"/>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一、中国南方电网公司简介</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中国南方电网有限责任公司(</w:t>
      </w:r>
      <w:r>
        <w:rPr>
          <w:rFonts w:hint="eastAsia" w:ascii="楷体_GB2312" w:hAnsi="楷体_GB2312" w:eastAsia="楷体_GB2312" w:cs="楷体_GB2312"/>
          <w:b w:val="0"/>
          <w:bCs/>
          <w:kern w:val="2"/>
          <w:sz w:val="32"/>
          <w:szCs w:val="32"/>
          <w:lang w:val="en-US" w:eastAsia="zh-CN" w:bidi="ar-SA"/>
        </w:rPr>
        <w:t>简称“中国南方电网”，英文缩写：CSG</w:t>
      </w:r>
      <w:r>
        <w:rPr>
          <w:rFonts w:hint="eastAsia" w:ascii="仿宋_GB2312" w:hAnsi="仿宋_GB2312" w:eastAsia="仿宋_GB2312" w:cs="仿宋_GB2312"/>
          <w:kern w:val="2"/>
          <w:sz w:val="32"/>
          <w:szCs w:val="32"/>
          <w:lang w:val="en-US" w:eastAsia="zh-CN" w:bidi="ar-SA"/>
        </w:rPr>
        <w:t>)成立于2002年12月29日，是中央管理的关系国家安全、国民经济命脉的国有重要骨干企业。公司负责投资、建设和经营管理南方区域电网，参与投资、建设和经营相关跨区域输变电和联网工程，为广东、广西、云南、贵州、海南五省区和港澳地区提供电力供应服务保障，以输配电业务为核心，协同发展新兴业务、国际业务、产业金融、共享服务等，共五大战略单元。公司总部设有21个职能部门和南方总调，所属27家二级分子公司，拥有南网储能、南网能源、南网科技3家上市公司，员工人数26.6万，资产总额13491亿元，营业收入8534亿元，连续19年保持经营业绩考核A级，连续10年获得国家主权级信用评级，世界500强排名第84位，国企改革连续4年位居央企前列，率先进入中国企业联合会评定的世界一流企业方阵。</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南方电网覆盖五省区，并与香港、澳门地区以及东南亚国家的电网相联，东西跨度近2000公里，供电面积100万平方公里，供电人口2.73亿人，供电客户1.2亿户;网内拥有水、煤、核、气、风能、太阳能、生物质能、抽水蓄能和新型储能等多种电源，电网交直流混联，远距离、大容量、超(特)高压输电，安全稳定特性复杂，驾驭难度大，科技含量高。公司以数字化绿色化协同促进新型能源体系和新型电力系统建设，在特高压输电领域处于世界领先水平，掌握超(特)高压直流输电、柔性直流输电、大电网安全稳定运行与控制、电网节能经济运行、大容量储能、超导等系列核心技术，建成并运行世界首个±800千伏特高压直流输电工程、世界首个±800千伏特高压柔性直流输电工程，荣获国家科技进步奖特等奖。目前，西电东送已形成“八条交流、十一条直流”19条500千伏及以上大通道，送电规模超过5800万千瓦。</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司积极融入和服务粤港澳大湾区高质量发展，基本建成现代化湾区电网，区内供电可靠性保持世界主要湾区先进水平，通过4回400千伏线路、7回132千伏线路与香港电网相连并互相供电，通过8回220千伏线路、4回110千伏线路对澳门供电，年送电量分别占香港、澳门总用电量的25%、90%。</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司自2004年开展国际电力合作，是国内率先“走出去”的电网企业。作为国务院授权的大湄公河次区域电力合作中方执行单位，公司主动融入和服务国家总体外交，积极参与高质量共建“一带一路”，不断深化国际交流合作，在东南亚、拉美、中亚、欧洲等“一带一路”沿线国别区域开展能源电力投资开发，重点实施与周边国家电网互联互通，牵头推进电力合作机制建设，在老挝、智利、秘鲁等8个国家(</w:t>
      </w:r>
      <w:r>
        <w:rPr>
          <w:rFonts w:hint="eastAsia" w:ascii="楷体_GB2312" w:hAnsi="楷体_GB2312" w:eastAsia="楷体_GB2312" w:cs="楷体_GB2312"/>
          <w:b w:val="0"/>
          <w:bCs/>
          <w:kern w:val="2"/>
          <w:sz w:val="32"/>
          <w:szCs w:val="32"/>
          <w:lang w:val="en-US" w:eastAsia="zh-CN" w:bidi="ar-SA"/>
        </w:rPr>
        <w:t>地区</w:t>
      </w:r>
      <w:r>
        <w:rPr>
          <w:rFonts w:hint="eastAsia" w:ascii="仿宋_GB2312" w:hAnsi="仿宋_GB2312" w:eastAsia="仿宋_GB2312" w:cs="仿宋_GB2312"/>
          <w:kern w:val="2"/>
          <w:sz w:val="32"/>
          <w:szCs w:val="32"/>
          <w:lang w:val="en-US" w:eastAsia="zh-CN" w:bidi="ar-SA"/>
        </w:rPr>
        <w:t>)投资了能源电力项目，国际业务资产总额达到840亿元。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二、下属单位简介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（一）南方电网科学研究院有限责任公司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南方电网科学研究院有限责任公司（</w:t>
      </w:r>
      <w:r>
        <w:rPr>
          <w:rFonts w:hint="eastAsia" w:ascii="楷体_GB2312" w:hAnsi="楷体_GB2312" w:eastAsia="楷体_GB2312" w:cs="楷体_GB2312"/>
          <w:b w:val="0"/>
          <w:bCs/>
          <w:kern w:val="2"/>
          <w:sz w:val="32"/>
          <w:szCs w:val="32"/>
          <w:lang w:val="en-US" w:eastAsia="zh-CN" w:bidi="ar-SA"/>
        </w:rPr>
        <w:t>简称“南网科研院”</w:t>
      </w:r>
      <w:r>
        <w:rPr>
          <w:rFonts w:hint="eastAsia" w:ascii="仿宋_GB2312" w:hAnsi="仿宋_GB2312" w:eastAsia="仿宋_GB2312" w:cs="仿宋_GB2312"/>
          <w:sz w:val="32"/>
          <w:szCs w:val="32"/>
          <w:lang w:val="en-US" w:eastAsia="zh-CN"/>
        </w:rPr>
        <w:t>）成立于2010年8月6日，是南方电网公司控股子公司，定位为“南网中央研究院、国家战略科技力量、电力科技创新平台、创新成果转化平台”。主要从事能源电力科技创新研究、新型电力系统技术研究、直流输电技术研究、直流工程系统集成成套设计、电力系统设备仿真试验、电力新设备研究开发、电力设备检验检测、数字化信息网络技术研究应用等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通过“国家认定企业技术中心”“国家火炬计划重点高新技术企业”“国家高新技术企业”“国家知识产权优势企业”认定，具有电网工程调试一级资质，设备监理甲级资质，计量相关资质（</w:t>
      </w:r>
      <w:r>
        <w:rPr>
          <w:rFonts w:hint="eastAsia" w:ascii="楷体_GB2312" w:hAnsi="楷体_GB2312" w:eastAsia="楷体_GB2312" w:cs="楷体_GB2312"/>
          <w:b w:val="0"/>
          <w:bCs/>
          <w:kern w:val="2"/>
          <w:sz w:val="32"/>
          <w:szCs w:val="32"/>
          <w:lang w:val="en-US" w:eastAsia="zh-CN" w:bidi="ar-SA"/>
        </w:rPr>
        <w:t>专项计量授权证书</w:t>
      </w:r>
      <w:r>
        <w:rPr>
          <w:rFonts w:hint="eastAsia" w:ascii="仿宋_GB2312" w:hAnsi="仿宋_GB2312" w:eastAsia="仿宋_GB2312" w:cs="仿宋_GB2312"/>
          <w:sz w:val="32"/>
          <w:szCs w:val="32"/>
          <w:lang w:val="en-US" w:eastAsia="zh-CN"/>
        </w:rPr>
        <w:t>），检验检测相关资质（</w:t>
      </w:r>
      <w:r>
        <w:rPr>
          <w:rFonts w:hint="eastAsia" w:ascii="楷体_GB2312" w:hAnsi="楷体_GB2312" w:eastAsia="楷体_GB2312" w:cs="楷体_GB2312"/>
          <w:b w:val="0"/>
          <w:bCs/>
          <w:kern w:val="2"/>
          <w:sz w:val="32"/>
          <w:szCs w:val="32"/>
          <w:lang w:val="en-US" w:eastAsia="zh-CN" w:bidi="ar-SA"/>
        </w:rPr>
        <w:t>CMA认定、CNAS认可</w:t>
      </w:r>
      <w:r>
        <w:rPr>
          <w:rFonts w:hint="eastAsia" w:ascii="仿宋_GB2312" w:hAnsi="仿宋_GB2312" w:eastAsia="仿宋_GB2312" w:cs="仿宋_GB2312"/>
          <w:sz w:val="32"/>
          <w:szCs w:val="32"/>
          <w:lang w:val="en-US" w:eastAsia="zh-CN"/>
        </w:rPr>
        <w:t>）和信息安全服务相关资质（</w:t>
      </w:r>
      <w:r>
        <w:rPr>
          <w:rFonts w:hint="eastAsia" w:ascii="楷体_GB2312" w:hAnsi="楷体_GB2312" w:eastAsia="楷体_GB2312" w:cs="楷体_GB2312"/>
          <w:b w:val="0"/>
          <w:bCs/>
          <w:kern w:val="2"/>
          <w:sz w:val="32"/>
          <w:szCs w:val="32"/>
          <w:lang w:val="en-US" w:eastAsia="zh-CN" w:bidi="ar-SA"/>
        </w:rPr>
        <w:t>网络安全等级测评与检测评估机构服务认证证书</w:t>
      </w:r>
      <w:r>
        <w:rPr>
          <w:rFonts w:hint="eastAsia" w:ascii="仿宋_GB2312" w:hAnsi="仿宋_GB2312" w:eastAsia="仿宋_GB2312" w:cs="仿宋_GB2312"/>
          <w:sz w:val="32"/>
          <w:szCs w:val="32"/>
          <w:lang w:val="en-US" w:eastAsia="zh-CN"/>
        </w:rPr>
        <w:t>）等。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现有直流输电技术全国重点实验室、特高压电力技术与新型电工装备基础国家工程研究中心2个国家科技创新基地，国家能源大电网技术研发（</w:t>
      </w:r>
      <w:r>
        <w:rPr>
          <w:rFonts w:hint="eastAsia" w:ascii="楷体_GB2312" w:hAnsi="楷体_GB2312" w:eastAsia="楷体_GB2312" w:cs="楷体_GB2312"/>
          <w:b w:val="0"/>
          <w:bCs/>
          <w:kern w:val="2"/>
          <w:sz w:val="32"/>
          <w:szCs w:val="32"/>
          <w:lang w:val="en-US" w:eastAsia="zh-CN" w:bidi="ar-SA"/>
        </w:rPr>
        <w:t>实验中心</w:t>
      </w:r>
      <w:r>
        <w:rPr>
          <w:rFonts w:hint="eastAsia" w:ascii="仿宋_GB2312" w:hAnsi="仿宋_GB2312" w:eastAsia="仿宋_GB2312" w:cs="仿宋_GB2312"/>
          <w:sz w:val="32"/>
          <w:szCs w:val="32"/>
          <w:lang w:val="en-US" w:eastAsia="zh-CN"/>
        </w:rPr>
        <w:t>）1个国家能源科技平台、7个省级实验室、3个南方电网公司实验室等科技创新平台。建有国家技术标准创新基地（</w:t>
      </w:r>
      <w:r>
        <w:rPr>
          <w:rFonts w:hint="eastAsia" w:ascii="楷体_GB2312" w:hAnsi="楷体_GB2312" w:eastAsia="楷体_GB2312" w:cs="楷体_GB2312"/>
          <w:b w:val="0"/>
          <w:bCs/>
          <w:kern w:val="2"/>
          <w:sz w:val="32"/>
          <w:szCs w:val="32"/>
          <w:lang w:val="en-US" w:eastAsia="zh-CN" w:bidi="ar-SA"/>
        </w:rPr>
        <w:t>直流输电及电力电子技术</w:t>
      </w:r>
      <w:r>
        <w:rPr>
          <w:rFonts w:hint="eastAsia" w:ascii="仿宋_GB2312" w:hAnsi="仿宋_GB2312" w:eastAsia="仿宋_GB2312" w:cs="仿宋_GB2312"/>
          <w:sz w:val="32"/>
          <w:szCs w:val="32"/>
          <w:lang w:val="en-US" w:eastAsia="zh-CN"/>
        </w:rPr>
        <w:t>）、电力新能源产业知识产权运营中心、电力行业信息安全等级保护测评中心第五实验室、国家级电力网络安全靶场等国家、行业级业务平台。主办中文核心期刊《南方电网技术》。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获国家科技进步特等奖、一等奖、二等奖各1项，中国专利金奖1项，银奖3项。发布国际标准18项（</w:t>
      </w:r>
      <w:r>
        <w:rPr>
          <w:rFonts w:hint="eastAsia" w:ascii="楷体_GB2312" w:hAnsi="楷体_GB2312" w:eastAsia="楷体_GB2312" w:cs="楷体_GB2312"/>
          <w:b w:val="0"/>
          <w:bCs/>
          <w:kern w:val="2"/>
          <w:sz w:val="32"/>
          <w:szCs w:val="32"/>
          <w:lang w:val="en-US" w:eastAsia="zh-CN" w:bidi="ar-SA"/>
        </w:rPr>
        <w:t>主导IEC标准2项</w:t>
      </w:r>
      <w:r>
        <w:rPr>
          <w:rFonts w:hint="eastAsia" w:ascii="仿宋_GB2312" w:hAnsi="仿宋_GB2312" w:eastAsia="仿宋_GB2312" w:cs="仿宋_GB2312"/>
          <w:sz w:val="32"/>
          <w:szCs w:val="32"/>
          <w:lang w:val="en-US" w:eastAsia="zh-CN"/>
        </w:rPr>
        <w:t>），国家标准117项。2019年，获评国务院国资委“深化人才发展体制机制改革”示范企业。2022年，获评国务院国资委“双百行动”标杆企业。2023年，获评国务院国资委“科改行动”标杆企业，入选世界一流专业领军示范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公司是国际大电网委员会（</w:t>
      </w:r>
      <w:r>
        <w:rPr>
          <w:rFonts w:hint="eastAsia" w:ascii="楷体_GB2312" w:hAnsi="楷体_GB2312" w:eastAsia="楷体_GB2312" w:cs="楷体_GB2312"/>
          <w:b w:val="0"/>
          <w:bCs/>
          <w:kern w:val="2"/>
          <w:sz w:val="32"/>
          <w:szCs w:val="32"/>
          <w:lang w:val="en-US" w:eastAsia="zh-CN" w:bidi="ar-SA"/>
        </w:rPr>
        <w:t>CIGRE</w:t>
      </w:r>
      <w:r>
        <w:rPr>
          <w:rFonts w:hint="eastAsia" w:ascii="仿宋_GB2312" w:hAnsi="仿宋_GB2312" w:eastAsia="仿宋_GB2312" w:cs="仿宋_GB2312"/>
          <w:sz w:val="32"/>
          <w:szCs w:val="32"/>
          <w:lang w:val="en-US" w:eastAsia="zh-CN"/>
        </w:rPr>
        <w:t>）、中国电机工程学会、中国电力企业联合会等31个国内外协会组织的重要成员单位。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hAnsi="楷体_GB2312" w:eastAsia="楷体_GB2312" w:cs="楷体_GB2312"/>
          <w:b w:val="0"/>
          <w:bCs/>
          <w:kern w:val="2"/>
          <w:sz w:val="32"/>
          <w:szCs w:val="32"/>
          <w:lang w:val="en-US" w:eastAsia="zh-CN" w:bidi="ar-SA"/>
        </w:rPr>
      </w:pPr>
      <w:bookmarkStart w:id="0" w:name="OLE_LINK2"/>
      <w:r>
        <w:rPr>
          <w:rFonts w:hint="eastAsia" w:ascii="楷体_GB2312" w:hAnsi="楷体_GB2312" w:eastAsia="楷体_GB2312" w:cs="楷体_GB2312"/>
          <w:b w:val="0"/>
          <w:bCs/>
          <w:kern w:val="2"/>
          <w:sz w:val="32"/>
          <w:szCs w:val="32"/>
          <w:lang w:val="en-US" w:eastAsia="zh-CN" w:bidi="ar-SA"/>
        </w:rPr>
        <w:t>（二）南方电网数字电网集团有限公司</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 xml:space="preserve">南方电网数字电网集团有限公司(以下简称“南网数字集团”)是南方电网公司的全资子公司，注册资金30亿元。 南网数字集团作为南方电网公司数字化转型战略支援部队。 数字电网建设主力军，立足数字电网领域冠军企业、世界一流数字电网创新平台、数字电网建设可靠支撑力量、数字化转型和数字电网建设整体解决方案提供商的定位，正加快打造成为南方电网公司战略性、基础性、支撑性的数字化保障力量，维护电网安全的新型力量，塑造面向未来核心竞争力的的增长点和承接落实国家数字化领域重大战略的实施主体。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南网数字集团拥有一支高素质、专业化、有活力的专业人人才队伍，承担多项国家级、省部级重点科技攻关任务，建设设多个省部级、南方电网公司创新平台，累计取得数字电网领域28项国际领先技术成果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123项专利、49项著作权。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（三）南方电网能源发展研究院有限责任公司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方电网能源发展研究院有限责任公司（简称“南网能源院”）是中国南方电网有限责任公司的全资子公司，是南方电网公司的智库机构，是能源电力行业智囊，是南方电网公司的共享服务平台企业。2017年12月成立，注册资本金1亿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网能源院企业定位为“南方电网智库、能源行业智囊”,以“为政府提供政策建议，为行业提供研究咨询，为南方电网公司提供共享服务”为使命，加强“人才、创新、品牌”核心竞争力建设，致力于打造开放、多元、共享、进化的智库生态，建设成为“具有行业影响力的世界一流能源智库”。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从事能源战略与能源政策研究、改革发展与运营管理研究、经济与投资财务研究、电力规划研究、电力工程设计咨询、电力工程建设管理咨询、数字经济与新兴业务研究咨询、澜湄合作与国际业务研究咨询等业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中国电力企业联合会、中国能源研究会、中国企业改革与发展研究会、中国电力规划设计协会等19个协会组织的重要成员单位。入选中国智库索引 (CTTI)来源智库。2021年，通过国家高科技企业认定，2024年获工程咨询单位甲级资信(评价)证书。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（四）</w:t>
      </w:r>
      <w:bookmarkStart w:id="1" w:name="OLE_LINK4"/>
      <w:r>
        <w:rPr>
          <w:rFonts w:hint="eastAsia" w:ascii="楷体_GB2312" w:hAnsi="楷体_GB2312" w:eastAsia="楷体_GB2312" w:cs="楷体_GB2312"/>
          <w:b w:val="0"/>
          <w:bCs/>
          <w:kern w:val="2"/>
          <w:sz w:val="32"/>
          <w:szCs w:val="32"/>
          <w:lang w:val="en-US" w:eastAsia="zh-CN" w:bidi="ar-SA"/>
        </w:rPr>
        <w:t>南方电网新型电力系统（北京）研究院有限公司</w:t>
      </w:r>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南方电网新型电力系统（北京）研究院有限公司2023年10月成立。作为南方电网公司与怀柔实验室新型电力系统研究中心的合作实施主体，实行</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两块牌子、一套人马</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运作模式，聚焦新型电力系统、能源数字化、电力人工智能、新型换流设备等前沿领域，开展基础前瞻技术研究及产业孵化工作。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公司注册资本5亿元，已构建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管理+专家</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双通道人才发展体系，在北京总部和广州设立分支机构。重点布局四大技术领域：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新型电力系统</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构建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双高</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电力系统基础理论，研发柔性直流输电等关键技术</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能源数字化</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开发电力行业专用人工智能算法，建立多模态数据融合分析平台</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电力人工智能</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研发语音交互、图像识别等智能技术在电网调度中的应用</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新型换流设备</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开展模块化多电平换流器、直流断路器等装备研制</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与怀柔实验室建立联合攻关体系，2024年5月启动首个重大科研项目，投入研发周期2年，计划建成200亿参数规模的电力大模型。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（五）贵州电网公司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bookmarkStart w:id="2" w:name="OLE_LINK1"/>
      <w:r>
        <w:rPr>
          <w:rFonts w:hint="eastAsia" w:ascii="仿宋_GB2312" w:hAnsi="仿宋_GB2312" w:eastAsia="仿宋_GB2312" w:cs="仿宋_GB2312"/>
          <w:sz w:val="32"/>
          <w:szCs w:val="32"/>
          <w:lang w:val="en-US" w:eastAsia="zh-CN"/>
        </w:rPr>
        <w:t>贵州电网有限责任公司负责贵州电网的统一规划、建设、管理和调度，经营中央在黔国有电网资产，承担着贵州省内电力供应和西电东送双重任务。供电面积17余万平方千米，供电户数1980余万户。公司先后荣获全国脱贫攻坚先进集体、全国五一劳动奖状、全国厂务公开先进单位、全国模范劳动关系和谐企业、中央企业先进基层党组织等荣誉称号。截至</w:t>
      </w:r>
      <w:r>
        <w:rPr>
          <w:rFonts w:hint="default"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val="en-US" w:eastAsia="zh-CN"/>
        </w:rPr>
        <w:t>月，公司本部设</w:t>
      </w:r>
      <w:r>
        <w:rPr>
          <w:rFonts w:hint="default"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lang w:val="en-US" w:eastAsia="zh-CN"/>
        </w:rPr>
        <w:t>个职能部门，</w:t>
      </w:r>
      <w:r>
        <w:rPr>
          <w:rFonts w:hint="default"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zh-CN"/>
        </w:rPr>
        <w:t>个直属机构。公司所属单位</w:t>
      </w:r>
      <w:r>
        <w:rPr>
          <w:rFonts w:hint="default" w:ascii="仿宋_GB2312" w:hAnsi="仿宋_GB2312" w:eastAsia="仿宋_GB2312" w:cs="仿宋_GB2312"/>
          <w:sz w:val="32"/>
          <w:szCs w:val="32"/>
          <w:lang w:val="en-US" w:eastAsia="zh-CN"/>
        </w:rPr>
        <w:t>109</w:t>
      </w:r>
      <w:r>
        <w:rPr>
          <w:rFonts w:hint="eastAsia" w:ascii="仿宋_GB2312" w:hAnsi="仿宋_GB2312" w:eastAsia="仿宋_GB2312" w:cs="仿宋_GB2312"/>
          <w:sz w:val="32"/>
          <w:szCs w:val="32"/>
          <w:lang w:val="en-US" w:eastAsia="zh-CN"/>
        </w:rPr>
        <w:t>个，其中公司本部</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家、</w:t>
      </w:r>
      <w:r>
        <w:rPr>
          <w:rFonts w:hint="default"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eastAsia="zh-CN"/>
        </w:rPr>
        <w:t>家地市级供电企业、</w:t>
      </w:r>
      <w:r>
        <w:rPr>
          <w:rFonts w:hint="default"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lang w:val="en-US" w:eastAsia="zh-CN"/>
        </w:rPr>
        <w:t>家地市级综合单位、</w:t>
      </w:r>
      <w:r>
        <w:rPr>
          <w:rFonts w:hint="default" w:ascii="仿宋_GB2312" w:hAnsi="仿宋_GB2312" w:eastAsia="仿宋_GB2312" w:cs="仿宋_GB2312"/>
          <w:sz w:val="32"/>
          <w:szCs w:val="32"/>
          <w:lang w:val="en-US" w:eastAsia="zh-CN"/>
        </w:rPr>
        <w:t>84</w:t>
      </w:r>
      <w:r>
        <w:rPr>
          <w:rFonts w:hint="eastAsia" w:ascii="仿宋_GB2312" w:hAnsi="仿宋_GB2312" w:eastAsia="仿宋_GB2312" w:cs="仿宋_GB2312"/>
          <w:sz w:val="32"/>
          <w:szCs w:val="32"/>
          <w:lang w:val="en-US" w:eastAsia="zh-CN"/>
        </w:rPr>
        <w:t>家县级供电企业。用工总数</w:t>
      </w:r>
      <w:r>
        <w:rPr>
          <w:rFonts w:hint="default" w:ascii="仿宋_GB2312" w:hAnsi="仿宋_GB2312" w:eastAsia="仿宋_GB2312" w:cs="仿宋_GB2312"/>
          <w:sz w:val="32"/>
          <w:szCs w:val="32"/>
          <w:lang w:val="en-US" w:eastAsia="zh-CN"/>
        </w:rPr>
        <w:t>37436</w:t>
      </w:r>
      <w:r>
        <w:rPr>
          <w:rFonts w:hint="eastAsia" w:ascii="仿宋_GB2312" w:hAnsi="仿宋_GB2312" w:eastAsia="仿宋_GB2312" w:cs="仿宋_GB2312"/>
          <w:sz w:val="32"/>
          <w:szCs w:val="32"/>
          <w:lang w:val="en-US" w:eastAsia="zh-CN"/>
        </w:rPr>
        <w:t>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电源方面：</w:t>
      </w:r>
      <w:r>
        <w:rPr>
          <w:rFonts w:hint="eastAsia" w:ascii="仿宋_GB2312" w:hAnsi="仿宋_GB2312" w:eastAsia="仿宋_GB2312" w:cs="仿宋_GB2312"/>
          <w:sz w:val="32"/>
          <w:szCs w:val="32"/>
          <w:lang w:val="en-US" w:eastAsia="zh-CN"/>
        </w:rPr>
        <w:t>全网统调装机容量7006.5万千瓦，其中煤电装机2946万千瓦，占比42.1%，水电装机1736.3万千瓦，占比24.8%，风电712.7千瓦，占比10.2%，光伏1544.7万千瓦，占比22.1%，生物质及其他电源装机66.8万千瓦，占比1.0%。另有电化学储能207.5万千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i w:val="0"/>
          <w:caps w:val="0"/>
          <w:color w:val="4E4E4E"/>
          <w:spacing w:val="0"/>
          <w:sz w:val="32"/>
          <w:szCs w:val="32"/>
          <w:shd w:val="clear" w:fill="FFFFFF"/>
        </w:rPr>
      </w:pPr>
      <w:r>
        <w:rPr>
          <w:rFonts w:hint="eastAsia" w:ascii="仿宋_GB2312" w:hAnsi="仿宋_GB2312" w:eastAsia="仿宋_GB2312" w:cs="仿宋_GB2312"/>
          <w:b/>
          <w:bCs/>
          <w:sz w:val="32"/>
          <w:szCs w:val="32"/>
          <w:lang w:val="en-US" w:eastAsia="zh-CN"/>
        </w:rPr>
        <w:t>电网方面：</w:t>
      </w:r>
      <w:r>
        <w:rPr>
          <w:rFonts w:hint="eastAsia" w:ascii="仿宋_GB2312" w:hAnsi="仿宋_GB2312" w:eastAsia="仿宋_GB2312" w:cs="仿宋_GB2312"/>
          <w:sz w:val="32"/>
          <w:szCs w:val="32"/>
          <w:lang w:val="en-US" w:eastAsia="zh-CN"/>
        </w:rPr>
        <w:t>贵州电网已全面建成“三横两联一中心”目标网架（三横：解决我省西部地区向中东部地区送电，并向省外输送；两联：解决省内电力南北互济；一中心：主要服务黔中城市群和“强省会”行动），500千伏电网实现市州全覆盖、220千伏电网实现县域全覆盖，以数字电网为关键载体的新型电力系统基本形成。通过“五交三直”（500千伏山河双回、黎桂双回、天金线和兴安直流、高肇直流、云贵互联通道直流）向广东送电，黔电送粤能力1000万千瓦。截至2024年12月，公司拥有35千伏及以上输电线路3223回、长度5.7万千米，变电站1564座，主变2739台，容量144314兆伏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（六）南方电网储能股份有限公司</w:t>
      </w:r>
      <w:bookmarkEnd w:id="2"/>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方电网公司深入贯彻习近平总书记重要讲话精神，认真落实国务院提高上市公司质量要求，对旗下上市公司文山电力实施重大资产重组，将全资子公司调峰调频公司的抽水蓄能、新型储能、调峰水电等优质资产注入文山电力，充分发挥资本市场资源配置作用，打造优质储能上市公司平台。2022年９月，云南文山电力股份有限公司更名为南方电网储能股份有限公司（公司证券简称变更为“南网储能”）。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网储能公司坚持以习近平新时代中国特色社会主义思想为指导，坚持和加强党的全面领导，心系“国之大者”，服务国家发展大局，贯彻落实“四个革命、一个合作”能源安全新战略，切实把党中央实现“双碳”目标、构建新型电力系统的决策部署，落实到又好又快发展抽水蓄能及新型储能的实际行动中。不断深化体制机制改革，发挥专业和规模优势，按照集约化、专业化管理的思路，成立４个专业化分公司，专业负责抽水蓄能电站和新型储能站的投资建设和运维生产。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南网储能公司坚持以习近平新时代中国特色社会主义思想为指导，坚持和加强党的全面领导，始终心系“国之大者”，积极服务国家发展大局，深入贯彻落实党中央构建新型电力系统、实现“双碳”目标重大决策部署，落实到又好又快发展抽水蓄能及新型储能的实际行动中。不断深化体制机制改革，发挥专业和规模优势，按照集约化、专业化管理的思路，成立４个专业化分公司，专业负责抽水蓄能电站和新型储能站的投资建设和运维生产。业务范围覆盖广东、广西、云南、贵州、海南五省。截至目前，公司已投运装机容量1234万千瓦，包括抽水蓄能1028万千瓦(7座)，新型储能3万千瓦(4座)，常规调峰水电203万千瓦(14座)。在建装机容量517.5万千瓦，包括抽水蓄能480万千瓦(4座)，新型储能37.5万千瓦(3座)。相关电站先后获得“菲迪克(FIDIC)工程项目优秀奖”“中国土木工程詹天佑奖”“中国电力优质工程”“国家优质工程”“国家水土保持示范工程”等多项高规格荣誉。</w:t>
      </w:r>
    </w:p>
    <w:sectPr>
      <w:headerReference r:id="rId3" w:type="default"/>
      <w:footerReference r:id="rId4" w:type="default"/>
      <w:pgSz w:w="11906" w:h="16838"/>
      <w:pgMar w:top="1440" w:right="1797" w:bottom="1440" w:left="1797" w:header="567" w:footer="56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7359634"/>
    </w:sdtPr>
    <w:sdtEndPr>
      <w:rPr>
        <w:sz w:val="21"/>
        <w:szCs w:val="21"/>
      </w:rPr>
    </w:sdtEndPr>
    <w:sdtContent>
      <w:p>
        <w:pPr>
          <w:pStyle w:val="7"/>
          <w:jc w:val="center"/>
          <w:rPr>
            <w:sz w:val="21"/>
            <w:szCs w:val="21"/>
          </w:rPr>
        </w:pP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YTA3MTE1MzY2M2I1YWM3OGJlNjFjMzc0OGE0NTYifQ=="/>
  </w:docVars>
  <w:rsids>
    <w:rsidRoot w:val="007C763E"/>
    <w:rsid w:val="0005560F"/>
    <w:rsid w:val="000A585D"/>
    <w:rsid w:val="000C4572"/>
    <w:rsid w:val="0016598A"/>
    <w:rsid w:val="001F7767"/>
    <w:rsid w:val="002506F8"/>
    <w:rsid w:val="00314891"/>
    <w:rsid w:val="00356340"/>
    <w:rsid w:val="003945E6"/>
    <w:rsid w:val="003D2EA2"/>
    <w:rsid w:val="0042214C"/>
    <w:rsid w:val="00432BEA"/>
    <w:rsid w:val="004E006A"/>
    <w:rsid w:val="004F2DDA"/>
    <w:rsid w:val="005759D0"/>
    <w:rsid w:val="005B499B"/>
    <w:rsid w:val="005C2924"/>
    <w:rsid w:val="005C4562"/>
    <w:rsid w:val="006410A2"/>
    <w:rsid w:val="00666541"/>
    <w:rsid w:val="006872D9"/>
    <w:rsid w:val="006956D6"/>
    <w:rsid w:val="006C7600"/>
    <w:rsid w:val="006E1301"/>
    <w:rsid w:val="006E2E03"/>
    <w:rsid w:val="00730379"/>
    <w:rsid w:val="00782E84"/>
    <w:rsid w:val="007C763E"/>
    <w:rsid w:val="007F0C05"/>
    <w:rsid w:val="00800A8C"/>
    <w:rsid w:val="00875B0E"/>
    <w:rsid w:val="008E3FF0"/>
    <w:rsid w:val="00914D0C"/>
    <w:rsid w:val="00944DCE"/>
    <w:rsid w:val="00955883"/>
    <w:rsid w:val="009A31D2"/>
    <w:rsid w:val="00AA666A"/>
    <w:rsid w:val="00B9634E"/>
    <w:rsid w:val="00BB49EA"/>
    <w:rsid w:val="00BF03CD"/>
    <w:rsid w:val="00C0533A"/>
    <w:rsid w:val="00C165AB"/>
    <w:rsid w:val="00C54B1B"/>
    <w:rsid w:val="00C81035"/>
    <w:rsid w:val="00CC4B6F"/>
    <w:rsid w:val="00CE2F75"/>
    <w:rsid w:val="00CF4848"/>
    <w:rsid w:val="00D33A1F"/>
    <w:rsid w:val="00DB736F"/>
    <w:rsid w:val="00DD09DA"/>
    <w:rsid w:val="00E43A45"/>
    <w:rsid w:val="00E51616"/>
    <w:rsid w:val="00E5413F"/>
    <w:rsid w:val="00ED2E3A"/>
    <w:rsid w:val="00EF2F51"/>
    <w:rsid w:val="00FD591C"/>
    <w:rsid w:val="00FE2B17"/>
    <w:rsid w:val="00FF6AF0"/>
    <w:rsid w:val="05444BC9"/>
    <w:rsid w:val="06DA47BE"/>
    <w:rsid w:val="079753F2"/>
    <w:rsid w:val="09CE6D93"/>
    <w:rsid w:val="0DCC048A"/>
    <w:rsid w:val="125E10C2"/>
    <w:rsid w:val="1CC43B4D"/>
    <w:rsid w:val="239C350D"/>
    <w:rsid w:val="2B9C1C62"/>
    <w:rsid w:val="2E1F2080"/>
    <w:rsid w:val="475902EF"/>
    <w:rsid w:val="4D832CE0"/>
    <w:rsid w:val="506C6D6E"/>
    <w:rsid w:val="50B64662"/>
    <w:rsid w:val="59CB7833"/>
    <w:rsid w:val="6E763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5">
    <w:name w:val="Body Text Indent 2"/>
    <w:basedOn w:val="1"/>
    <w:qFormat/>
    <w:uiPriority w:val="0"/>
    <w:pPr>
      <w:ind w:firstLine="641"/>
    </w:pPr>
    <w:rPr>
      <w:rFonts w:ascii="黑体" w:hAnsi="黑体" w:eastAsia="黑体" w:cs="黑体"/>
      <w:b/>
    </w:rPr>
  </w:style>
  <w:style w:type="paragraph" w:styleId="6">
    <w:name w:val="Balloon Text"/>
    <w:basedOn w:val="1"/>
    <w:link w:val="19"/>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10"/>
    <w:pPr>
      <w:spacing w:before="240" w:after="60"/>
      <w:jc w:val="center"/>
      <w:outlineLvl w:val="0"/>
    </w:pPr>
    <w:rPr>
      <w:rFonts w:ascii="Arial" w:hAnsi="Arial" w:eastAsia="华文中宋" w:cs="Arial"/>
      <w:b/>
      <w:bCs/>
      <w:color w:val="FF0000"/>
      <w:sz w:val="84"/>
      <w:szCs w:val="32"/>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4">
    <w:name w:val="List Paragraph"/>
    <w:basedOn w:val="1"/>
    <w:qFormat/>
    <w:uiPriority w:val="34"/>
    <w:pPr>
      <w:ind w:firstLine="420" w:firstLineChars="200"/>
    </w:pPr>
  </w:style>
  <w:style w:type="character" w:customStyle="1" w:styleId="15">
    <w:name w:val="页眉 Char"/>
    <w:basedOn w:val="13"/>
    <w:link w:val="8"/>
    <w:qFormat/>
    <w:uiPriority w:val="99"/>
    <w:rPr>
      <w:sz w:val="18"/>
      <w:szCs w:val="18"/>
    </w:rPr>
  </w:style>
  <w:style w:type="character" w:customStyle="1" w:styleId="16">
    <w:name w:val="页脚 Char"/>
    <w:basedOn w:val="13"/>
    <w:link w:val="7"/>
    <w:qFormat/>
    <w:uiPriority w:val="99"/>
    <w:rPr>
      <w:sz w:val="18"/>
      <w:szCs w:val="18"/>
    </w:rPr>
  </w:style>
  <w:style w:type="paragraph" w:styleId="17">
    <w:name w:val="No Spacing"/>
    <w:link w:val="18"/>
    <w:qFormat/>
    <w:uiPriority w:val="1"/>
    <w:rPr>
      <w:rFonts w:ascii="Calibri" w:hAnsi="Calibri" w:eastAsia="宋体" w:cs="Times New Roman"/>
      <w:sz w:val="22"/>
      <w:szCs w:val="22"/>
      <w:lang w:val="en-US" w:eastAsia="en-US" w:bidi="ar-SA"/>
    </w:rPr>
  </w:style>
  <w:style w:type="character" w:customStyle="1" w:styleId="18">
    <w:name w:val="无间隔 Char"/>
    <w:basedOn w:val="13"/>
    <w:link w:val="17"/>
    <w:qFormat/>
    <w:uiPriority w:val="1"/>
    <w:rPr>
      <w:rFonts w:ascii="Calibri" w:hAnsi="Calibri" w:eastAsia="宋体" w:cs="Times New Roman"/>
      <w:kern w:val="0"/>
      <w:sz w:val="22"/>
      <w:lang w:eastAsia="en-US"/>
    </w:rPr>
  </w:style>
  <w:style w:type="character" w:customStyle="1" w:styleId="19">
    <w:name w:val="批注框文本 Char"/>
    <w:basedOn w:val="13"/>
    <w:link w:val="6"/>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16</Pages>
  <Words>104</Words>
  <Characters>593</Characters>
  <Lines>4</Lines>
  <Paragraphs>1</Paragraphs>
  <TotalTime>16</TotalTime>
  <ScaleCrop>false</ScaleCrop>
  <LinksUpToDate>false</LinksUpToDate>
  <CharactersWithSpaces>696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2025-08-15T10:12:00Z</dcterms:created>
  <dc:creator>葛茜</dc:creator>
  <cp:lastModifiedBy>谢超</cp:lastModifiedBy>
  <dcterms:modified xsi:type="dcterms:W3CDTF">2025-09-02T10:07:16Z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6180317325AB48CF8DEE4E05EA8A3C1E_12</vt:lpwstr>
  </property>
</Properties>
</file>